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8CA572" w14:textId="292B7ADA" w:rsidR="0051264B" w:rsidRDefault="0051264B" w:rsidP="00512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517C">
        <w:fldChar w:fldCharType="begin"/>
      </w:r>
      <w:r w:rsidR="0053517C">
        <w:instrText xml:space="preserve"> DOCPROPERTY  TSG/WGRef  \* MERGEFORMAT </w:instrText>
      </w:r>
      <w:r w:rsidR="0053517C">
        <w:fldChar w:fldCharType="separate"/>
      </w:r>
      <w:r>
        <w:rPr>
          <w:b/>
          <w:noProof/>
          <w:sz w:val="24"/>
        </w:rPr>
        <w:t>RAN4</w:t>
      </w:r>
      <w:r w:rsidR="005351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3517C">
        <w:fldChar w:fldCharType="begin"/>
      </w:r>
      <w:r w:rsidR="0053517C">
        <w:instrText xml:space="preserve"> DOCPROPERTY  MtgSeq  \* MERGEFORMAT </w:instrText>
      </w:r>
      <w:r w:rsidR="0053517C">
        <w:fldChar w:fldCharType="separate"/>
      </w:r>
      <w:r w:rsidRPr="00EB09B7">
        <w:rPr>
          <w:b/>
          <w:noProof/>
          <w:sz w:val="24"/>
        </w:rPr>
        <w:t>9</w:t>
      </w:r>
      <w:r w:rsidR="0053517C">
        <w:rPr>
          <w:b/>
          <w:noProof/>
          <w:sz w:val="24"/>
        </w:rPr>
        <w:fldChar w:fldCharType="end"/>
      </w:r>
      <w:r w:rsidR="00911D75">
        <w:rPr>
          <w:b/>
          <w:noProof/>
          <w:sz w:val="24"/>
        </w:rPr>
        <w:t>8</w:t>
      </w:r>
      <w:r w:rsidR="0053517C">
        <w:fldChar w:fldCharType="begin"/>
      </w:r>
      <w:r w:rsidR="0053517C">
        <w:instrText xml:space="preserve"> DOCPROPERTY  MtgTitle  \* MERGEFORMAT </w:instrText>
      </w:r>
      <w:r w:rsidR="0053517C">
        <w:fldChar w:fldCharType="separate"/>
      </w:r>
      <w:r>
        <w:rPr>
          <w:b/>
          <w:noProof/>
          <w:sz w:val="24"/>
        </w:rPr>
        <w:t>-e</w:t>
      </w:r>
      <w:r w:rsidR="005351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1D75" w:rsidRPr="00911D75">
        <w:rPr>
          <w:b/>
          <w:noProof/>
          <w:sz w:val="24"/>
        </w:rPr>
        <w:t>R4-2103674</w:t>
      </w:r>
    </w:p>
    <w:p w14:paraId="474C2646" w14:textId="77777777" w:rsidR="00911D75" w:rsidRDefault="00911D75" w:rsidP="00911D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D52283">
        <w:rPr>
          <w:b/>
          <w:sz w:val="24"/>
          <w:szCs w:val="24"/>
          <w:lang w:eastAsia="zh-CN"/>
        </w:rPr>
        <w:fldChar w:fldCharType="begin"/>
      </w:r>
      <w:r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Pr="00D52283">
        <w:rPr>
          <w:b/>
          <w:sz w:val="24"/>
          <w:szCs w:val="24"/>
          <w:lang w:eastAsia="zh-CN"/>
        </w:rPr>
        <w:fldChar w:fldCharType="end"/>
      </w:r>
      <w:r w:rsidRPr="00D52283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5</w:t>
      </w:r>
      <w:r w:rsidRPr="00BF122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Jan</w:t>
      </w:r>
      <w:r w:rsidRPr="00BF1228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 – 5 </w:t>
      </w:r>
      <w:proofErr w:type="gramStart"/>
      <w:r>
        <w:rPr>
          <w:b/>
          <w:sz w:val="24"/>
          <w:szCs w:val="24"/>
          <w:lang w:eastAsia="zh-CN"/>
        </w:rPr>
        <w:t>Feb.</w:t>
      </w:r>
      <w:r w:rsidRPr="00BF1228">
        <w:rPr>
          <w:b/>
          <w:sz w:val="24"/>
          <w:szCs w:val="24"/>
          <w:lang w:eastAsia="zh-CN"/>
        </w:rPr>
        <w:t>,</w:t>
      </w:r>
      <w:proofErr w:type="gramEnd"/>
      <w:r w:rsidRPr="00BF1228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1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3D3F8198" w14:textId="164193B8" w:rsidR="00ED3112" w:rsidRPr="00BC1B9F" w:rsidRDefault="00ED3112" w:rsidP="00911D75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911D75" w:rsidRPr="00C05141">
        <w:t xml:space="preserve">LS on handover with </w:t>
      </w:r>
      <w:proofErr w:type="spellStart"/>
      <w:r w:rsidR="00911D75" w:rsidRPr="00C05141">
        <w:t>PSCell</w:t>
      </w:r>
      <w:proofErr w:type="spellEnd"/>
    </w:p>
    <w:p w14:paraId="485B8A6C" w14:textId="02477E4B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911D75">
        <w:rPr>
          <w:bCs/>
        </w:rPr>
        <w:t>7</w:t>
      </w:r>
    </w:p>
    <w:p w14:paraId="1D4ED99D" w14:textId="118B81C3" w:rsidR="00ED3112" w:rsidRPr="00911D75" w:rsidRDefault="00ED3112" w:rsidP="00911D75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911D75" w:rsidRPr="00911D75">
        <w:t>NR_RRM_enh2-Core</w:t>
      </w: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8C91CD" w14:textId="7EE78472" w:rsidR="00732DC0" w:rsidRPr="0051264B" w:rsidRDefault="00ED3112" w:rsidP="0051264B">
      <w:pPr>
        <w:spacing w:after="60"/>
        <w:ind w:left="1985" w:hanging="1985"/>
        <w:rPr>
          <w:bCs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>RAN WG 2</w:t>
      </w:r>
      <w:r w:rsidR="00732DC0">
        <w:rPr>
          <w:b/>
        </w:rPr>
        <w:tab/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r w:rsidR="00DA4F05" w:rsidRPr="00BC1B9F">
        <w:rPr>
          <w:b/>
        </w:rPr>
        <w:t>Jie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68C7F1C2" w14:textId="4368E964" w:rsidR="0051264B" w:rsidRDefault="00911D75" w:rsidP="00911D75">
      <w:pPr>
        <w:jc w:val="both"/>
      </w:pPr>
      <w:r>
        <w:t>In RAN4 #98e meeting</w:t>
      </w:r>
      <w:r w:rsidR="0051264B" w:rsidRPr="0051264B">
        <w:t xml:space="preserve">, RAN4 </w:t>
      </w:r>
      <w:r w:rsidR="003C7E91">
        <w:t>discussed</w:t>
      </w:r>
      <w:r>
        <w:t xml:space="preserve"> the RRM requirements for </w:t>
      </w:r>
      <w:r w:rsidRPr="00C05141">
        <w:t xml:space="preserve">handover with </w:t>
      </w:r>
      <w:proofErr w:type="spellStart"/>
      <w:r w:rsidRPr="00C05141">
        <w:t>PSCell</w:t>
      </w:r>
      <w:proofErr w:type="spellEnd"/>
      <w:r>
        <w:t xml:space="preserve"> and RAN4 has identified questions about RRC processing delay and failure case for HO with </w:t>
      </w:r>
      <w:proofErr w:type="spellStart"/>
      <w:r>
        <w:t>PSCell</w:t>
      </w:r>
      <w:proofErr w:type="spellEnd"/>
      <w:r>
        <w:t>. RAN4 sincere</w:t>
      </w:r>
      <w:r w:rsidR="003C7E91">
        <w:t>ly</w:t>
      </w:r>
      <w:r>
        <w:t xml:space="preserve"> requests RAN2 to provide answers </w:t>
      </w:r>
      <w:proofErr w:type="gramStart"/>
      <w:r>
        <w:t>of</w:t>
      </w:r>
      <w:proofErr w:type="gramEnd"/>
      <w:r>
        <w:t xml:space="preserve"> following questions for RAN4 future work.  </w:t>
      </w:r>
    </w:p>
    <w:p w14:paraId="049E4047" w14:textId="229F52B4" w:rsidR="005D79F8" w:rsidRPr="004F7B4C" w:rsidRDefault="00911D75" w:rsidP="005D79F8">
      <w:pPr>
        <w:pStyle w:val="ListParagraph"/>
        <w:numPr>
          <w:ilvl w:val="0"/>
          <w:numId w:val="11"/>
        </w:numPr>
        <w:ind w:left="36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Question 1: what is the RRC processing delay for following cases of handover with </w:t>
      </w:r>
      <w:proofErr w:type="spellStart"/>
      <w:r w:rsidRPr="00A71E6E">
        <w:rPr>
          <w:rFonts w:ascii="Times New Roman" w:eastAsia="SimSun" w:hAnsi="Times New Roman"/>
          <w:sz w:val="20"/>
          <w:szCs w:val="20"/>
          <w:lang w:val="en-GB"/>
        </w:rPr>
        <w:t>PSCell</w:t>
      </w:r>
      <w:proofErr w:type="spellEnd"/>
      <w:r w:rsidRPr="00A71E6E">
        <w:rPr>
          <w:rFonts w:ascii="Times New Roman" w:eastAsia="SimSun" w:hAnsi="Times New Roman"/>
          <w:sz w:val="20"/>
          <w:szCs w:val="20"/>
          <w:lang w:val="en-GB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1440"/>
        <w:gridCol w:w="1335"/>
        <w:gridCol w:w="1455"/>
        <w:gridCol w:w="3604"/>
      </w:tblGrid>
      <w:tr w:rsidR="006A11AA" w14:paraId="0F81AA4F" w14:textId="77777777" w:rsidTr="00590311">
        <w:trPr>
          <w:trHeight w:val="20"/>
        </w:trPr>
        <w:tc>
          <w:tcPr>
            <w:tcW w:w="1795" w:type="dxa"/>
            <w:vAlign w:val="center"/>
          </w:tcPr>
          <w:p w14:paraId="1F083EA8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Scenario</w:t>
            </w:r>
          </w:p>
        </w:tc>
        <w:tc>
          <w:tcPr>
            <w:tcW w:w="1440" w:type="dxa"/>
            <w:vAlign w:val="center"/>
          </w:tcPr>
          <w:p w14:paraId="1A5866CF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 xml:space="preserve">Source </w:t>
            </w:r>
            <w:proofErr w:type="spellStart"/>
            <w:r>
              <w:rPr>
                <w:lang w:val="en-US" w:eastAsia="x-none"/>
              </w:rPr>
              <w:t>PCell</w:t>
            </w:r>
            <w:proofErr w:type="spellEnd"/>
          </w:p>
        </w:tc>
        <w:tc>
          <w:tcPr>
            <w:tcW w:w="1335" w:type="dxa"/>
            <w:vAlign w:val="center"/>
          </w:tcPr>
          <w:p w14:paraId="4C6CDA61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 xml:space="preserve">Target </w:t>
            </w:r>
            <w:proofErr w:type="spellStart"/>
            <w:r>
              <w:rPr>
                <w:lang w:val="en-US" w:eastAsia="x-none"/>
              </w:rPr>
              <w:t>PCell</w:t>
            </w:r>
            <w:proofErr w:type="spellEnd"/>
          </w:p>
        </w:tc>
        <w:tc>
          <w:tcPr>
            <w:tcW w:w="1455" w:type="dxa"/>
            <w:vAlign w:val="center"/>
          </w:tcPr>
          <w:p w14:paraId="0702AA83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 xml:space="preserve">Target </w:t>
            </w:r>
            <w:proofErr w:type="spellStart"/>
            <w:r>
              <w:rPr>
                <w:lang w:val="en-US" w:eastAsia="x-none"/>
              </w:rPr>
              <w:t>PSCell</w:t>
            </w:r>
            <w:proofErr w:type="spellEnd"/>
          </w:p>
        </w:tc>
        <w:tc>
          <w:tcPr>
            <w:tcW w:w="3604" w:type="dxa"/>
            <w:vAlign w:val="center"/>
          </w:tcPr>
          <w:p w14:paraId="0C540CF4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 xml:space="preserve">RRC procedure delay for HO with </w:t>
            </w:r>
            <w:proofErr w:type="spellStart"/>
            <w:r>
              <w:rPr>
                <w:lang w:val="en-US" w:eastAsia="x-none"/>
              </w:rPr>
              <w:t>PSCell</w:t>
            </w:r>
            <w:proofErr w:type="spellEnd"/>
          </w:p>
        </w:tc>
      </w:tr>
      <w:tr w:rsidR="006A11AA" w14:paraId="7F7C7061" w14:textId="77777777" w:rsidTr="00590311">
        <w:trPr>
          <w:trHeight w:val="20"/>
        </w:trPr>
        <w:tc>
          <w:tcPr>
            <w:tcW w:w="1795" w:type="dxa"/>
            <w:vAlign w:val="center"/>
          </w:tcPr>
          <w:p w14:paraId="7C6F5EFB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 w:rsidRPr="00727179">
              <w:rPr>
                <w:kern w:val="24"/>
              </w:rPr>
              <w:t>NR SA to EN-DC</w:t>
            </w:r>
          </w:p>
        </w:tc>
        <w:tc>
          <w:tcPr>
            <w:tcW w:w="1440" w:type="dxa"/>
            <w:vAlign w:val="center"/>
          </w:tcPr>
          <w:p w14:paraId="579BAB8F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(incl. FR1 and FR2)</w:t>
            </w:r>
          </w:p>
        </w:tc>
        <w:tc>
          <w:tcPr>
            <w:tcW w:w="1335" w:type="dxa"/>
            <w:vAlign w:val="center"/>
          </w:tcPr>
          <w:p w14:paraId="0A1167D7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LTE</w:t>
            </w:r>
          </w:p>
        </w:tc>
        <w:tc>
          <w:tcPr>
            <w:tcW w:w="1455" w:type="dxa"/>
            <w:vAlign w:val="center"/>
          </w:tcPr>
          <w:p w14:paraId="58C9633E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(incl. FR1 and FR2)</w:t>
            </w:r>
          </w:p>
        </w:tc>
        <w:tc>
          <w:tcPr>
            <w:tcW w:w="3604" w:type="dxa"/>
            <w:vAlign w:val="center"/>
          </w:tcPr>
          <w:p w14:paraId="40F12DF2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 xml:space="preserve">? </w:t>
            </w:r>
          </w:p>
        </w:tc>
      </w:tr>
      <w:tr w:rsidR="006A11AA" w14:paraId="66797B55" w14:textId="77777777" w:rsidTr="00590311">
        <w:trPr>
          <w:trHeight w:val="20"/>
        </w:trPr>
        <w:tc>
          <w:tcPr>
            <w:tcW w:w="1795" w:type="dxa"/>
            <w:vAlign w:val="center"/>
          </w:tcPr>
          <w:p w14:paraId="63F046C7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 w:rsidRPr="00727179">
              <w:rPr>
                <w:kern w:val="24"/>
              </w:rPr>
              <w:t>EN-DC to EN-DC</w:t>
            </w:r>
          </w:p>
        </w:tc>
        <w:tc>
          <w:tcPr>
            <w:tcW w:w="1440" w:type="dxa"/>
            <w:vAlign w:val="center"/>
          </w:tcPr>
          <w:p w14:paraId="13D81EC8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LTE</w:t>
            </w:r>
          </w:p>
        </w:tc>
        <w:tc>
          <w:tcPr>
            <w:tcW w:w="1335" w:type="dxa"/>
            <w:vAlign w:val="center"/>
          </w:tcPr>
          <w:p w14:paraId="65219401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LTE</w:t>
            </w:r>
          </w:p>
        </w:tc>
        <w:tc>
          <w:tcPr>
            <w:tcW w:w="1455" w:type="dxa"/>
            <w:vAlign w:val="center"/>
          </w:tcPr>
          <w:p w14:paraId="5437D0CA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(incl. FR1 and FR2)</w:t>
            </w:r>
          </w:p>
        </w:tc>
        <w:tc>
          <w:tcPr>
            <w:tcW w:w="3604" w:type="dxa"/>
            <w:vAlign w:val="center"/>
          </w:tcPr>
          <w:p w14:paraId="7C51BAD5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?</w:t>
            </w:r>
          </w:p>
        </w:tc>
      </w:tr>
      <w:tr w:rsidR="006A11AA" w14:paraId="3A1A1A12" w14:textId="77777777" w:rsidTr="00590311">
        <w:trPr>
          <w:trHeight w:val="20"/>
        </w:trPr>
        <w:tc>
          <w:tcPr>
            <w:tcW w:w="1795" w:type="dxa"/>
            <w:vAlign w:val="center"/>
          </w:tcPr>
          <w:p w14:paraId="5D7D52C1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 w:rsidRPr="00727179">
              <w:rPr>
                <w:kern w:val="24"/>
              </w:rPr>
              <w:t>NE-DC to NE-DC</w:t>
            </w:r>
          </w:p>
        </w:tc>
        <w:tc>
          <w:tcPr>
            <w:tcW w:w="1440" w:type="dxa"/>
            <w:vAlign w:val="center"/>
          </w:tcPr>
          <w:p w14:paraId="2BDC9F04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FR1</w:t>
            </w:r>
          </w:p>
        </w:tc>
        <w:tc>
          <w:tcPr>
            <w:tcW w:w="1335" w:type="dxa"/>
            <w:vAlign w:val="center"/>
          </w:tcPr>
          <w:p w14:paraId="49CD1B51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FR1</w:t>
            </w:r>
          </w:p>
        </w:tc>
        <w:tc>
          <w:tcPr>
            <w:tcW w:w="1455" w:type="dxa"/>
            <w:vAlign w:val="center"/>
          </w:tcPr>
          <w:p w14:paraId="5C9DDB79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LTE</w:t>
            </w:r>
          </w:p>
        </w:tc>
        <w:tc>
          <w:tcPr>
            <w:tcW w:w="3604" w:type="dxa"/>
            <w:vAlign w:val="center"/>
          </w:tcPr>
          <w:p w14:paraId="2EF9A420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?</w:t>
            </w:r>
          </w:p>
        </w:tc>
      </w:tr>
      <w:tr w:rsidR="006A11AA" w14:paraId="62EFDF9D" w14:textId="77777777" w:rsidTr="00590311">
        <w:trPr>
          <w:trHeight w:val="20"/>
        </w:trPr>
        <w:tc>
          <w:tcPr>
            <w:tcW w:w="1795" w:type="dxa"/>
            <w:vAlign w:val="center"/>
          </w:tcPr>
          <w:p w14:paraId="1666F218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 w:rsidRPr="00727179">
              <w:rPr>
                <w:kern w:val="24"/>
              </w:rPr>
              <w:t>NR-DC to NR-DC</w:t>
            </w:r>
          </w:p>
        </w:tc>
        <w:tc>
          <w:tcPr>
            <w:tcW w:w="1440" w:type="dxa"/>
            <w:vAlign w:val="center"/>
          </w:tcPr>
          <w:p w14:paraId="06623620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FR1</w:t>
            </w:r>
          </w:p>
        </w:tc>
        <w:tc>
          <w:tcPr>
            <w:tcW w:w="1335" w:type="dxa"/>
            <w:vAlign w:val="center"/>
          </w:tcPr>
          <w:p w14:paraId="00C30DF8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FR1</w:t>
            </w:r>
          </w:p>
        </w:tc>
        <w:tc>
          <w:tcPr>
            <w:tcW w:w="1455" w:type="dxa"/>
            <w:vAlign w:val="center"/>
          </w:tcPr>
          <w:p w14:paraId="55FB9A3D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FR2</w:t>
            </w:r>
          </w:p>
        </w:tc>
        <w:tc>
          <w:tcPr>
            <w:tcW w:w="3604" w:type="dxa"/>
            <w:vAlign w:val="center"/>
          </w:tcPr>
          <w:p w14:paraId="30590A60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?</w:t>
            </w:r>
          </w:p>
        </w:tc>
      </w:tr>
    </w:tbl>
    <w:p w14:paraId="2A328848" w14:textId="77777777" w:rsidR="003244C4" w:rsidRDefault="003244C4" w:rsidP="003244C4">
      <w:pPr>
        <w:pStyle w:val="ListParagraph"/>
        <w:ind w:left="360"/>
        <w:jc w:val="both"/>
        <w:rPr>
          <w:rFonts w:ascii="Times New Roman" w:eastAsia="SimSun" w:hAnsi="Times New Roman"/>
          <w:sz w:val="20"/>
          <w:szCs w:val="20"/>
          <w:lang w:val="en-GB"/>
        </w:rPr>
      </w:pPr>
    </w:p>
    <w:p w14:paraId="42C22A14" w14:textId="27EEBE2A" w:rsidR="00A71E6E" w:rsidRDefault="00A71E6E" w:rsidP="00A71E6E">
      <w:pPr>
        <w:pStyle w:val="ListParagraph"/>
        <w:numPr>
          <w:ilvl w:val="0"/>
          <w:numId w:val="11"/>
        </w:numPr>
        <w:ind w:left="36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Question </w:t>
      </w:r>
      <w:r>
        <w:rPr>
          <w:rFonts w:ascii="Times New Roman" w:eastAsia="SimSun" w:hAnsi="Times New Roman"/>
          <w:sz w:val="20"/>
          <w:szCs w:val="20"/>
          <w:lang w:val="en-GB"/>
        </w:rPr>
        <w:t>2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: Regarding HO with </w:t>
      </w:r>
      <w:proofErr w:type="spellStart"/>
      <w:r w:rsidRPr="00A71E6E">
        <w:rPr>
          <w:rFonts w:ascii="Times New Roman" w:eastAsia="SimSun" w:hAnsi="Times New Roman"/>
          <w:sz w:val="20"/>
          <w:szCs w:val="20"/>
          <w:lang w:val="en-GB"/>
        </w:rPr>
        <w:t>PSCell</w:t>
      </w:r>
      <w:proofErr w:type="spellEnd"/>
      <w:r>
        <w:rPr>
          <w:rFonts w:ascii="Times New Roman" w:eastAsia="SimSun" w:hAnsi="Times New Roman"/>
          <w:sz w:val="20"/>
          <w:szCs w:val="20"/>
          <w:lang w:val="en-GB"/>
        </w:rPr>
        <w:t xml:space="preserve"> triggered by single RRC HO command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which </w:t>
      </w:r>
      <w:r w:rsidR="003244C4">
        <w:rPr>
          <w:rFonts w:ascii="Times New Roman" w:eastAsia="SimSun" w:hAnsi="Times New Roman"/>
          <w:sz w:val="20"/>
          <w:szCs w:val="20"/>
          <w:lang w:val="en-GB"/>
        </w:rPr>
        <w:t xml:space="preserve">of 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following </w:t>
      </w:r>
      <w:r w:rsidR="003244C4">
        <w:rPr>
          <w:rFonts w:ascii="Times New Roman" w:eastAsia="SimSun" w:hAnsi="Times New Roman"/>
          <w:sz w:val="20"/>
          <w:szCs w:val="20"/>
          <w:lang w:val="en-GB"/>
        </w:rPr>
        <w:t>options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is in line with RAN2 definition when UE 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fails to synchronize to the expected </w:t>
      </w:r>
      <w:proofErr w:type="spellStart"/>
      <w:r w:rsidR="003244C4">
        <w:rPr>
          <w:rFonts w:ascii="Times New Roman" w:eastAsia="SimSun" w:hAnsi="Times New Roman"/>
          <w:sz w:val="20"/>
          <w:szCs w:val="20"/>
          <w:lang w:val="en-GB"/>
        </w:rPr>
        <w:t>PSCell</w:t>
      </w:r>
      <w:proofErr w:type="spellEnd"/>
      <w:r>
        <w:rPr>
          <w:rFonts w:ascii="Times New Roman" w:eastAsia="SimSun" w:hAnsi="Times New Roman"/>
          <w:sz w:val="20"/>
          <w:szCs w:val="20"/>
          <w:lang w:val="en-GB"/>
        </w:rPr>
        <w:t>?</w:t>
      </w:r>
    </w:p>
    <w:p w14:paraId="22772AFD" w14:textId="2ACE67B0" w:rsidR="00A71E6E" w:rsidRDefault="00A71E6E" w:rsidP="00A71E6E">
      <w:pPr>
        <w:pStyle w:val="ListParagraph"/>
        <w:numPr>
          <w:ilvl w:val="1"/>
          <w:numId w:val="11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Option 1: 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UE performs conventional Rel-15 HO procedure and </w:t>
      </w:r>
      <w:proofErr w:type="spellStart"/>
      <w:r w:rsidR="003244C4">
        <w:rPr>
          <w:rFonts w:ascii="Times New Roman" w:eastAsia="SimSun" w:hAnsi="Times New Roman"/>
          <w:sz w:val="20"/>
          <w:szCs w:val="20"/>
          <w:lang w:val="en-GB"/>
        </w:rPr>
        <w:t>PSCell</w:t>
      </w:r>
      <w:proofErr w:type="spellEnd"/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 addition separately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, i.e., UE can handover to the new </w:t>
      </w:r>
      <w:proofErr w:type="spellStart"/>
      <w:r>
        <w:rPr>
          <w:rFonts w:ascii="Times New Roman" w:eastAsia="SimSun" w:hAnsi="Times New Roman"/>
          <w:sz w:val="20"/>
          <w:szCs w:val="20"/>
          <w:lang w:val="en-GB"/>
        </w:rPr>
        <w:t>PCell</w:t>
      </w:r>
      <w:proofErr w:type="spellEnd"/>
      <w:r>
        <w:rPr>
          <w:rFonts w:ascii="Times New Roman" w:eastAsia="SimSun" w:hAnsi="Times New Roman"/>
          <w:sz w:val="20"/>
          <w:szCs w:val="20"/>
          <w:lang w:val="en-GB"/>
        </w:rPr>
        <w:t xml:space="preserve"> without </w:t>
      </w:r>
      <w:proofErr w:type="spellStart"/>
      <w:r>
        <w:rPr>
          <w:rFonts w:ascii="Times New Roman" w:eastAsia="SimSun" w:hAnsi="Times New Roman"/>
          <w:sz w:val="20"/>
          <w:szCs w:val="20"/>
          <w:lang w:val="en-GB"/>
        </w:rPr>
        <w:t>PSCell</w:t>
      </w:r>
      <w:proofErr w:type="spellEnd"/>
      <w:r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="003C7E91">
        <w:rPr>
          <w:rFonts w:ascii="Times New Roman" w:eastAsia="SimSun" w:hAnsi="Times New Roman"/>
          <w:sz w:val="20"/>
          <w:szCs w:val="20"/>
          <w:lang w:val="en-GB"/>
        </w:rPr>
        <w:t>addition</w:t>
      </w:r>
    </w:p>
    <w:p w14:paraId="25F57857" w14:textId="308B73BD" w:rsidR="00A71E6E" w:rsidRDefault="00A71E6E" w:rsidP="00A71E6E">
      <w:pPr>
        <w:pStyle w:val="ListParagraph"/>
        <w:numPr>
          <w:ilvl w:val="1"/>
          <w:numId w:val="11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Option 2: 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>UE tries to synchronize another SCG which is the most likely to connect successfully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(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assumes that the target </w:t>
      </w:r>
      <w:proofErr w:type="spellStart"/>
      <w:r w:rsidRPr="00A71E6E">
        <w:rPr>
          <w:rFonts w:ascii="Times New Roman" w:eastAsia="SimSun" w:hAnsi="Times New Roman"/>
          <w:sz w:val="20"/>
          <w:szCs w:val="20"/>
          <w:lang w:val="en-GB"/>
        </w:rPr>
        <w:t>PCell</w:t>
      </w:r>
      <w:proofErr w:type="spellEnd"/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 configures multiple SCGs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), i.e., UE can handover to the new </w:t>
      </w:r>
      <w:proofErr w:type="spellStart"/>
      <w:r>
        <w:rPr>
          <w:rFonts w:ascii="Times New Roman" w:eastAsia="SimSun" w:hAnsi="Times New Roman"/>
          <w:sz w:val="20"/>
          <w:szCs w:val="20"/>
          <w:lang w:val="en-GB"/>
        </w:rPr>
        <w:t>PCell</w:t>
      </w:r>
      <w:proofErr w:type="spellEnd"/>
      <w:r>
        <w:rPr>
          <w:rFonts w:ascii="Times New Roman" w:eastAsia="SimSun" w:hAnsi="Times New Roman"/>
          <w:sz w:val="20"/>
          <w:szCs w:val="20"/>
          <w:lang w:val="en-GB"/>
        </w:rPr>
        <w:t xml:space="preserve"> with a different </w:t>
      </w:r>
      <w:proofErr w:type="spellStart"/>
      <w:r>
        <w:rPr>
          <w:rFonts w:ascii="Times New Roman" w:eastAsia="SimSun" w:hAnsi="Times New Roman"/>
          <w:sz w:val="20"/>
          <w:szCs w:val="20"/>
          <w:lang w:val="en-GB"/>
        </w:rPr>
        <w:t>PSCell</w:t>
      </w:r>
      <w:proofErr w:type="spellEnd"/>
      <w:r>
        <w:rPr>
          <w:rFonts w:ascii="Times New Roman" w:eastAsia="SimSun" w:hAnsi="Times New Roman"/>
          <w:sz w:val="20"/>
          <w:szCs w:val="20"/>
          <w:lang w:val="en-GB"/>
        </w:rPr>
        <w:t xml:space="preserve"> addition</w:t>
      </w:r>
    </w:p>
    <w:p w14:paraId="5618009D" w14:textId="4B6C93EB" w:rsidR="00A71E6E" w:rsidRDefault="00A71E6E" w:rsidP="00A71E6E">
      <w:pPr>
        <w:pStyle w:val="ListParagraph"/>
        <w:numPr>
          <w:ilvl w:val="1"/>
          <w:numId w:val="11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Option 3: UE won’t handover to new </w:t>
      </w:r>
      <w:proofErr w:type="spellStart"/>
      <w:r w:rsidR="00B073F0">
        <w:rPr>
          <w:rFonts w:ascii="Times New Roman" w:eastAsia="SimSun" w:hAnsi="Times New Roman"/>
          <w:sz w:val="20"/>
          <w:szCs w:val="20"/>
          <w:lang w:val="en-GB"/>
        </w:rPr>
        <w:t>PCell</w:t>
      </w:r>
      <w:proofErr w:type="spellEnd"/>
      <w:r w:rsidR="00B073F0">
        <w:rPr>
          <w:rFonts w:ascii="Times New Roman" w:eastAsia="SimSun" w:hAnsi="Times New Roman"/>
          <w:sz w:val="20"/>
          <w:szCs w:val="20"/>
          <w:lang w:val="en-GB"/>
        </w:rPr>
        <w:t xml:space="preserve"> upon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eastAsia="SimSun" w:hAnsi="Times New Roman"/>
          <w:sz w:val="20"/>
          <w:szCs w:val="20"/>
          <w:lang w:val="en-GB"/>
        </w:rPr>
        <w:t>PSCell</w:t>
      </w:r>
      <w:proofErr w:type="spellEnd"/>
      <w:r>
        <w:rPr>
          <w:rFonts w:ascii="Times New Roman" w:eastAsia="SimSun" w:hAnsi="Times New Roman"/>
          <w:sz w:val="20"/>
          <w:szCs w:val="20"/>
          <w:lang w:val="en-GB"/>
        </w:rPr>
        <w:t xml:space="preserve"> addition failure, i.e., UE will treat it as 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conventional </w:t>
      </w:r>
      <w:r>
        <w:rPr>
          <w:rFonts w:ascii="Times New Roman" w:eastAsia="SimSun" w:hAnsi="Times New Roman"/>
          <w:sz w:val="20"/>
          <w:szCs w:val="20"/>
          <w:lang w:val="en-GB"/>
        </w:rPr>
        <w:t>R</w:t>
      </w:r>
      <w:r w:rsidR="003244C4">
        <w:rPr>
          <w:rFonts w:ascii="Times New Roman" w:eastAsia="SimSun" w:hAnsi="Times New Roman"/>
          <w:sz w:val="20"/>
          <w:szCs w:val="20"/>
          <w:lang w:val="en-GB"/>
        </w:rPr>
        <w:t>el-</w:t>
      </w:r>
      <w:r>
        <w:rPr>
          <w:rFonts w:ascii="Times New Roman" w:eastAsia="SimSun" w:hAnsi="Times New Roman"/>
          <w:sz w:val="20"/>
          <w:szCs w:val="20"/>
          <w:lang w:val="en-GB"/>
        </w:rPr>
        <w:t>15 HO failure</w:t>
      </w:r>
    </w:p>
    <w:p w14:paraId="0A11C327" w14:textId="5B06367C" w:rsidR="00C65F24" w:rsidRDefault="00C65F24" w:rsidP="00A71E6E">
      <w:pPr>
        <w:pStyle w:val="ListParagraph"/>
        <w:numPr>
          <w:ilvl w:val="1"/>
          <w:numId w:val="11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>Option 4: RAN2 is welcomed to share additional failure cases if any.</w:t>
      </w:r>
    </w:p>
    <w:p w14:paraId="319EE759" w14:textId="2F2711D1" w:rsidR="00327AA6" w:rsidRDefault="00327AA6" w:rsidP="00A71E6E">
      <w:pPr>
        <w:jc w:val="both"/>
      </w:pPr>
    </w:p>
    <w:p w14:paraId="08E35E03" w14:textId="77777777" w:rsidR="003244C4" w:rsidRPr="00A71E6E" w:rsidRDefault="003244C4" w:rsidP="00A71E6E">
      <w:pPr>
        <w:jc w:val="both"/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60C76F13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 xml:space="preserve">To RAN </w:t>
      </w:r>
      <w:r w:rsidR="00365DDE">
        <w:rPr>
          <w:b/>
        </w:rPr>
        <w:t xml:space="preserve">WG2 </w:t>
      </w:r>
      <w:r w:rsidRPr="00BC1B9F">
        <w:rPr>
          <w:b/>
        </w:rPr>
        <w:t>group.</w:t>
      </w:r>
    </w:p>
    <w:p w14:paraId="3E007D9B" w14:textId="2786BC6B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="003244C4">
        <w:t>RAN4 sincere</w:t>
      </w:r>
      <w:r w:rsidR="003C7E91">
        <w:t>ly</w:t>
      </w:r>
      <w:r w:rsidR="003244C4">
        <w:t xml:space="preserve"> requests RAN2 to provide answers </w:t>
      </w:r>
      <w:proofErr w:type="gramStart"/>
      <w:r w:rsidR="003244C4">
        <w:t>of</w:t>
      </w:r>
      <w:proofErr w:type="gramEnd"/>
      <w:r w:rsidR="003244C4">
        <w:t xml:space="preserve"> above questions for RAN4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49F06337" w14:textId="7F55A007" w:rsidR="001D099A" w:rsidRPr="00BC1B9F" w:rsidRDefault="001D099A" w:rsidP="0031702F">
      <w:pPr>
        <w:tabs>
          <w:tab w:val="left" w:pos="5103"/>
        </w:tabs>
        <w:ind w:left="2268" w:hanging="2268"/>
      </w:pPr>
      <w:r>
        <w:t>TSG-RAN4 #98bis-e</w:t>
      </w:r>
      <w:r>
        <w:tab/>
        <w:t>Apr 12-Apr 20, 2021</w:t>
      </w:r>
      <w:r>
        <w:tab/>
        <w:t>Online</w:t>
      </w:r>
    </w:p>
    <w:p w14:paraId="7CB2BCAC" w14:textId="3677DB5B" w:rsidR="003244C4" w:rsidRPr="00BC1B9F" w:rsidRDefault="003244C4" w:rsidP="003244C4">
      <w:pPr>
        <w:tabs>
          <w:tab w:val="left" w:pos="5103"/>
        </w:tabs>
        <w:ind w:left="2268" w:hanging="2268"/>
      </w:pPr>
      <w:r>
        <w:t>TSG-RAN4 #99-e</w:t>
      </w:r>
      <w:r w:rsidRPr="003244C4">
        <w:t xml:space="preserve"> </w:t>
      </w:r>
      <w:r>
        <w:tab/>
        <w:t>May 19-May 27, 2021</w:t>
      </w:r>
      <w:r>
        <w:tab/>
        <w:t>Online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166C7" w14:textId="77777777" w:rsidR="0053517C" w:rsidRDefault="0053517C">
      <w:r>
        <w:separator/>
      </w:r>
    </w:p>
  </w:endnote>
  <w:endnote w:type="continuationSeparator" w:id="0">
    <w:p w14:paraId="5D6D50C6" w14:textId="77777777" w:rsidR="0053517C" w:rsidRDefault="0053517C">
      <w:r>
        <w:continuationSeparator/>
      </w:r>
    </w:p>
  </w:endnote>
  <w:endnote w:type="continuationNotice" w:id="1">
    <w:p w14:paraId="0C68E843" w14:textId="77777777" w:rsidR="0053517C" w:rsidRDefault="0053517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20B0604020202020204"/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4E405" w14:textId="77777777" w:rsidR="00C65F24" w:rsidRDefault="00C65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8F2D0" w14:textId="77777777" w:rsidR="0053517C" w:rsidRDefault="0053517C">
      <w:r>
        <w:separator/>
      </w:r>
    </w:p>
  </w:footnote>
  <w:footnote w:type="continuationSeparator" w:id="0">
    <w:p w14:paraId="05E0E99E" w14:textId="77777777" w:rsidR="0053517C" w:rsidRDefault="0053517C">
      <w:r>
        <w:continuationSeparator/>
      </w:r>
    </w:p>
  </w:footnote>
  <w:footnote w:type="continuationNotice" w:id="1">
    <w:p w14:paraId="5FE7C109" w14:textId="77777777" w:rsidR="0053517C" w:rsidRDefault="0053517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DEDBD" w14:textId="77777777" w:rsidR="00C65F24" w:rsidRDefault="00C65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37B00" w14:textId="77777777" w:rsidR="00C65F24" w:rsidRDefault="00C65F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8"/>
  </w:num>
  <w:num w:numId="6">
    <w:abstractNumId w:val="2"/>
  </w:num>
  <w:num w:numId="7">
    <w:abstractNumId w:val="9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C7E91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7F0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B4C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17C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9F8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1AA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20F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3F0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7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15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875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6FE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EAA96-6240-47FD-8872-29BA8AF7AC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78EF2A4-A417-41FE-8434-B0672132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4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Jerry Cui - 2nd round</cp:lastModifiedBy>
  <cp:revision>4</cp:revision>
  <cp:lastPrinted>2016-11-03T02:40:00Z</cp:lastPrinted>
  <dcterms:created xsi:type="dcterms:W3CDTF">2021-02-03T06:20:00Z</dcterms:created>
  <dcterms:modified xsi:type="dcterms:W3CDTF">2021-02-03T23:26:00Z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